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57" w:rsidRPr="00DD4A2B" w:rsidRDefault="00D4424F">
      <w:pPr>
        <w:ind w:left="0" w:hanging="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  <w:bookmarkStart w:id="0" w:name="_GoBack"/>
      <w:r w:rsidR="00A77F35" w:rsidRPr="00DD4A2B">
        <w:rPr>
          <w:rFonts w:asciiTheme="minorHAnsi" w:hAnsiTheme="minorHAnsi"/>
          <w:b/>
          <w:bCs/>
        </w:rPr>
        <w:t xml:space="preserve">DECRETO N° </w:t>
      </w:r>
      <w:r w:rsidR="00BE0FF0">
        <w:rPr>
          <w:rFonts w:asciiTheme="minorHAnsi" w:hAnsiTheme="minorHAnsi"/>
          <w:b/>
          <w:bCs/>
        </w:rPr>
        <w:t>294</w:t>
      </w:r>
      <w:r w:rsidR="00A77F35" w:rsidRPr="00DD4A2B">
        <w:rPr>
          <w:rFonts w:asciiTheme="minorHAnsi" w:hAnsiTheme="minorHAnsi"/>
          <w:b/>
          <w:bCs/>
        </w:rPr>
        <w:t>/2020</w:t>
      </w:r>
      <w:bookmarkEnd w:id="0"/>
      <w:r w:rsidR="00A77F35" w:rsidRPr="00DD4A2B">
        <w:rPr>
          <w:rFonts w:asciiTheme="minorHAnsi" w:hAnsiTheme="minorHAnsi"/>
          <w:b/>
          <w:bCs/>
        </w:rPr>
        <w:t>.</w:t>
      </w:r>
    </w:p>
    <w:p w:rsidR="00D01957" w:rsidRDefault="00D01957">
      <w:pPr>
        <w:ind w:left="0" w:hanging="2"/>
        <w:jc w:val="center"/>
        <w:rPr>
          <w:rFonts w:asciiTheme="minorHAnsi" w:hAnsiTheme="minorHAnsi"/>
        </w:rPr>
      </w:pPr>
    </w:p>
    <w:p w:rsidR="00D01957" w:rsidRDefault="00D01957">
      <w:pPr>
        <w:ind w:left="0" w:hanging="2"/>
        <w:jc w:val="center"/>
        <w:rPr>
          <w:rFonts w:asciiTheme="minorHAnsi" w:hAnsiTheme="minorHAnsi"/>
        </w:rPr>
      </w:pPr>
    </w:p>
    <w:p w:rsidR="00D01957" w:rsidRDefault="00A77F35">
      <w:pPr>
        <w:ind w:left="4536" w:hanging="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Dispõe sobre ações emergenciais de competência municipal, consolidadas na Lei Federal n° 14.017, de 29 de junho de 2020, destinadas ao setor cultural durante o estado de calamidade pública reconhecida pelo Decreto Legislativo n° 6, de 20 de março de 2020.</w:t>
      </w:r>
    </w:p>
    <w:p w:rsidR="00D01957" w:rsidRDefault="00D01957">
      <w:pPr>
        <w:ind w:left="614" w:hanging="2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Prefeita Municipal de Arcoverde, no Estado de Pernambuco, no uso de suas atribuições legais,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 w:rsidP="00DD4A2B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DECRETA</w:t>
      </w:r>
    </w:p>
    <w:p w:rsidR="00DD4A2B" w:rsidRDefault="00DD4A2B" w:rsidP="00DD4A2B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hanging="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DISPOSIÇÕES GERAIS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1° </w:t>
      </w:r>
      <w:r>
        <w:rPr>
          <w:rFonts w:asciiTheme="minorHAnsi" w:hAnsiTheme="minorHAnsi"/>
        </w:rPr>
        <w:t>Este decreto regulamenta as ações emergenciais de competência do Município de Arcoverde destinadas ao setor cultural, decorrentes da Lei Federal n° 14.017 (Lei Aldir Blanc), de 29 de junho de 2020, e do Decreto Presidencial nº 10.464, de 17 de agosto de 2020, a serem adotadas durante o estado de calamidade pública reconhecida pelo Decreto Legislativo n° 6, de 20 de março de 2020.</w:t>
      </w: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2° </w:t>
      </w:r>
      <w:r>
        <w:rPr>
          <w:rFonts w:asciiTheme="minorHAnsi" w:hAnsiTheme="minorHAnsi"/>
        </w:rPr>
        <w:t>O valor recebido da União pelo Município de Arcoverde/PE, estabelecido no anexo 3 do Decreto Presidencial nº 10.464, de 17 de agosto de 2020, equivalente a R$ 541.421,56</w:t>
      </w:r>
      <w:r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</w:rPr>
        <w:t>(quinhentos e quarenta e um mil quatrocentos e vinte e um reais e cinquenta e seis centavos), será aplicado pelo poder executivo municipal, conforme o art. 2°, incisos II e III, do mencionado decreto, através das ações emergenciais seguintes: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 xml:space="preserve">I – </w:t>
      </w:r>
      <w:proofErr w:type="gramStart"/>
      <w:r>
        <w:rPr>
          <w:rFonts w:asciiTheme="minorHAnsi" w:hAnsiTheme="minorHAnsi"/>
        </w:rPr>
        <w:t>subsídio</w:t>
      </w:r>
      <w:proofErr w:type="gramEnd"/>
      <w:r>
        <w:rPr>
          <w:rFonts w:asciiTheme="minorHAnsi" w:hAnsiTheme="minorHAnsi"/>
        </w:rPr>
        <w:t xml:space="preserve"> para manutenção de espaços artísticos e culturais, microempresas e pequenas empresas culturais, cooperativas, instituições e organizações culturais comunitárias que tiveram as suas atividades interrompidas por força das medidas de isolamento social, e</w:t>
      </w: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–</w:t>
      </w:r>
      <w:r>
        <w:rPr>
          <w:rFonts w:asciiTheme="minorHAnsi" w:hAnsiTheme="minorHAnsi"/>
        </w:rPr>
        <w:t xml:space="preserve"> editais, chamadas públicas ou outros instrumentos </w:t>
      </w:r>
      <w:bookmarkStart w:id="1" w:name="_Hlk49381648"/>
      <w:r>
        <w:rPr>
          <w:rFonts w:asciiTheme="minorHAnsi" w:hAnsiTheme="minorHAnsi"/>
        </w:rPr>
        <w:t>para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e realização de atividades artísticas e culturais que possam ser transmitidas pela internet ou disponibilizadas por meio de redes sociais e outras plataformas digitais</w:t>
      </w:r>
      <w:bookmarkEnd w:id="1"/>
      <w:r>
        <w:rPr>
          <w:rFonts w:asciiTheme="minorHAnsi" w:hAnsiTheme="minorHAnsi"/>
        </w:rPr>
        <w:t xml:space="preserve">.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Calibri"/>
          <w:b/>
          <w:bCs/>
        </w:rPr>
        <w:lastRenderedPageBreak/>
        <w:t>§</w:t>
      </w:r>
      <w:r>
        <w:rPr>
          <w:rFonts w:asciiTheme="minorHAnsi" w:hAnsiTheme="minorHAnsi"/>
          <w:b/>
          <w:bCs/>
        </w:rPr>
        <w:t xml:space="preserve">1° </w:t>
      </w:r>
      <w:r>
        <w:rPr>
          <w:rFonts w:asciiTheme="minorHAnsi" w:hAnsiTheme="minorHAnsi"/>
        </w:rPr>
        <w:t>Do valor previsto no caput, 20% (</w:t>
      </w:r>
      <w:r>
        <w:rPr>
          <w:rFonts w:asciiTheme="minorHAnsi" w:hAnsiTheme="minorHAnsi"/>
          <w:color w:val="000000" w:themeColor="text1"/>
        </w:rPr>
        <w:t xml:space="preserve">vinte por cento) serão destinados às ações emergenciais previstas no inciso I, enquanto os outros 80% (oitenta por cento) serão divididos entre as medidas do inciso II, respeitando o disposto no art. 2°, </w:t>
      </w:r>
      <w:r>
        <w:rPr>
          <w:rFonts w:asciiTheme="minorHAnsi" w:hAnsiTheme="minorHAnsi" w:cs="Calibri"/>
          <w:color w:val="000000" w:themeColor="text1"/>
        </w:rPr>
        <w:t>§</w:t>
      </w:r>
      <w:r>
        <w:rPr>
          <w:rFonts w:asciiTheme="minorHAnsi" w:hAnsiTheme="minorHAnsi"/>
          <w:color w:val="000000" w:themeColor="text1"/>
        </w:rPr>
        <w:t>1°, da Lei n° 14.017/2020.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b/>
          <w:bCs/>
        </w:rPr>
        <w:t xml:space="preserve">§2° </w:t>
      </w:r>
      <w:r>
        <w:rPr>
          <w:rFonts w:asciiTheme="minorHAnsi" w:hAnsiTheme="minorHAnsi" w:cs="Calibri"/>
          <w:color w:val="000000" w:themeColor="text1"/>
        </w:rPr>
        <w:t xml:space="preserve">Caso não seja integralmente utilizado o montante destinado a qualquer das ações emergenciais, em razão da ausência de inscrições suficientes ou da inabilitação de eventuais inscritos, o valor remanescente será remanejado e distribuído, cumpridos os requisitos e normas legais, para as demais ações previstas nos incisos I e II deste artigo.  </w:t>
      </w:r>
    </w:p>
    <w:p w:rsidR="00D01957" w:rsidRDefault="00D01957">
      <w:pPr>
        <w:ind w:left="2" w:firstLine="706"/>
        <w:jc w:val="both"/>
        <w:rPr>
          <w:rFonts w:asciiTheme="minorHAnsi" w:hAnsiTheme="minorHAnsi" w:cs="Calibri"/>
        </w:rPr>
      </w:pPr>
    </w:p>
    <w:p w:rsidR="00D01957" w:rsidRDefault="00A77F35">
      <w:pPr>
        <w:ind w:left="2" w:firstLine="70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§3°</w:t>
      </w:r>
      <w:r>
        <w:rPr>
          <w:rFonts w:asciiTheme="minorHAnsi" w:hAnsiTheme="minorHAnsi" w:cs="Calibri"/>
        </w:rPr>
        <w:t xml:space="preserve"> O valor correspondente a cada uma das ações emergenciais previstas nos incisos I e II do caput somente será concedido </w:t>
      </w:r>
      <w:r>
        <w:rPr>
          <w:rFonts w:asciiTheme="minorHAnsi" w:hAnsiTheme="minorHAnsi" w:cs="Calibri"/>
          <w:u w:val="single"/>
        </w:rPr>
        <w:t>uma única vez</w:t>
      </w:r>
      <w:r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  <w:u w:val="single"/>
        </w:rPr>
        <w:t>vedado o recebimento cumulativo desses incisos</w:t>
      </w:r>
      <w:r>
        <w:rPr>
          <w:rFonts w:asciiTheme="minorHAnsi" w:hAnsiTheme="minorHAnsi" w:cs="Calibri"/>
        </w:rPr>
        <w:t xml:space="preserve">, mesmo que o beneficiário esteja inscrito em mais de um cadastro de espaço cultural e atenda </w:t>
      </w:r>
      <w:r w:rsidR="00BE0FF0">
        <w:rPr>
          <w:rFonts w:asciiTheme="minorHAnsi" w:hAnsiTheme="minorHAnsi" w:cs="Calibri"/>
        </w:rPr>
        <w:t>a</w:t>
      </w:r>
      <w:r>
        <w:rPr>
          <w:rFonts w:asciiTheme="minorHAnsi" w:hAnsiTheme="minorHAnsi" w:cs="Calibri"/>
        </w:rPr>
        <w:t>os requisitos de mais de um edital, chamada pública ou instrumento equivalente.</w:t>
      </w:r>
    </w:p>
    <w:p w:rsidR="00D01957" w:rsidRDefault="00D01957">
      <w:pPr>
        <w:ind w:left="2" w:firstLine="706"/>
        <w:jc w:val="both"/>
        <w:rPr>
          <w:rFonts w:asciiTheme="minorHAnsi" w:hAnsiTheme="minorHAnsi" w:cs="Calibri"/>
        </w:rPr>
      </w:pPr>
    </w:p>
    <w:p w:rsidR="00D01957" w:rsidRDefault="00A77F35">
      <w:pPr>
        <w:ind w:left="2" w:firstLine="70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>§4°</w:t>
      </w:r>
      <w:r>
        <w:rPr>
          <w:rFonts w:asciiTheme="minorHAnsi" w:hAnsiTheme="minorHAnsi" w:cs="Calibri"/>
        </w:rPr>
        <w:t xml:space="preserve"> O proponente, pessoa física ou jurídica, poderá solicitar o recebimento dos benefícios das ações emergenciais elencadas nos incisos I e II do caput, contudo receberá o valor equivalente somente a uma ação emergencial, o de maior valor.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3° </w:t>
      </w:r>
      <w:r>
        <w:rPr>
          <w:rFonts w:asciiTheme="minorHAnsi" w:hAnsiTheme="minorHAnsi"/>
        </w:rPr>
        <w:t xml:space="preserve">A distribuição dos recursos será regida por meio de chamamentos públicos e editais, ou qualquer ato normativo pertinente, </w:t>
      </w:r>
      <w:r w:rsidR="00A82FE5">
        <w:rPr>
          <w:rFonts w:asciiTheme="minorHAnsi" w:hAnsiTheme="minorHAnsi"/>
        </w:rPr>
        <w:t>através dos quais</w:t>
      </w:r>
      <w:r>
        <w:rPr>
          <w:rFonts w:asciiTheme="minorHAnsi" w:hAnsiTheme="minorHAnsi"/>
        </w:rPr>
        <w:t xml:space="preserve"> os interessados serão informados das etapas do processo e dos critérios para recebimento, que serão devidamente publicados no site oficial da Prefeitura de Arcoverde/PE. </w:t>
      </w:r>
    </w:p>
    <w:p w:rsidR="00D01957" w:rsidRDefault="00D01957">
      <w:pPr>
        <w:ind w:left="0" w:firstLine="708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</w:rPr>
        <w:t xml:space="preserve">Art. 4° </w:t>
      </w:r>
      <w:r>
        <w:rPr>
          <w:rFonts w:asciiTheme="minorHAnsi" w:hAnsiTheme="minorHAnsi"/>
          <w:color w:val="000000" w:themeColor="text1"/>
        </w:rPr>
        <w:t xml:space="preserve">Os recursos serão destinados exclusivamente aos agentes da cultura residentes no município de Arcoverde e com atividades regulares comprovadas </w:t>
      </w:r>
      <w:r w:rsidR="0025583C">
        <w:rPr>
          <w:rFonts w:asciiTheme="minorHAnsi" w:hAnsiTheme="minorHAnsi"/>
          <w:color w:val="000000" w:themeColor="text1"/>
        </w:rPr>
        <w:t>por</w:t>
      </w:r>
      <w:r>
        <w:rPr>
          <w:rFonts w:asciiTheme="minorHAnsi" w:hAnsiTheme="minorHAnsi"/>
          <w:color w:val="000000" w:themeColor="text1"/>
        </w:rPr>
        <w:t xml:space="preserve"> no mínimo 12 (doze) meses ininterruptos neste município</w:t>
      </w:r>
      <w:r w:rsidR="00CA2DEA">
        <w:rPr>
          <w:rFonts w:asciiTheme="minorHAnsi" w:hAnsiTheme="minorHAnsi"/>
          <w:color w:val="000000" w:themeColor="text1"/>
        </w:rPr>
        <w:t xml:space="preserve">, imediatamente anteriores ao reconhecimento do estado de calamidade. </w:t>
      </w:r>
    </w:p>
    <w:p w:rsidR="00D01957" w:rsidRDefault="00D01957">
      <w:pPr>
        <w:ind w:left="2" w:firstLine="706"/>
        <w:jc w:val="both"/>
        <w:rPr>
          <w:rFonts w:asciiTheme="minorHAnsi" w:hAnsiTheme="minorHAnsi"/>
          <w:color w:val="000000" w:themeColor="text1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</w:rPr>
        <w:t xml:space="preserve">Parágrafo único. </w:t>
      </w:r>
      <w:r>
        <w:rPr>
          <w:rFonts w:asciiTheme="minorHAnsi" w:hAnsiTheme="minorHAnsi"/>
        </w:rPr>
        <w:t xml:space="preserve">Ficam excluídos do prazo previsto neste artigo os grupos itinerantes, a exemplo dos circos e mambembes, os quais necessitam, no entanto, comprovar que estão estabelecidos no território do município de Arcoverde desde a data da decretação do estado de calamidade pública reconhecido no Decreto Legislativo n°6, de 20 de março de 2020. </w:t>
      </w:r>
    </w:p>
    <w:p w:rsidR="00D01957" w:rsidRDefault="00D01957">
      <w:pPr>
        <w:ind w:left="2" w:firstLine="706"/>
        <w:jc w:val="both"/>
        <w:rPr>
          <w:rFonts w:asciiTheme="minorHAnsi" w:hAnsiTheme="minorHAnsi"/>
          <w:color w:val="000000" w:themeColor="text1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5° </w:t>
      </w:r>
      <w:r>
        <w:rPr>
          <w:rFonts w:asciiTheme="minorHAnsi" w:hAnsiTheme="minorHAnsi"/>
        </w:rPr>
        <w:t>Consideram-se agentes de cultura toda pessoa física ou jurídica que prestar serviços de natureza cultural ou artística, não eventual.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6° </w:t>
      </w:r>
      <w:r>
        <w:rPr>
          <w:rFonts w:asciiTheme="minorHAnsi" w:hAnsiTheme="minorHAnsi"/>
        </w:rPr>
        <w:t xml:space="preserve">Para os fins do disposto neste Decreto, consideram-se espaços culturais todos aqueles organizados e mantidos por pessoas, organizações da sociedade civil, empresas culturais, organizações culturais comunitárias, cooperativas com finalidade </w:t>
      </w:r>
      <w:r>
        <w:rPr>
          <w:rFonts w:asciiTheme="minorHAnsi" w:hAnsiTheme="minorHAnsi"/>
        </w:rPr>
        <w:lastRenderedPageBreak/>
        <w:t>cultural, com ou sem fins lucrativos, que sejam dedicados a realizar atividades artísticas e culturais, sendo: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pontos e pontões</w:t>
      </w:r>
      <w:proofErr w:type="gramEnd"/>
      <w:r>
        <w:rPr>
          <w:rFonts w:asciiTheme="minorHAnsi" w:hAnsiTheme="minorHAnsi"/>
        </w:rPr>
        <w:t xml:space="preserve"> de cultura;</w:t>
      </w:r>
    </w:p>
    <w:p w:rsidR="00D01957" w:rsidRDefault="00D01957">
      <w:pPr>
        <w:ind w:left="115" w:firstLine="7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teatros</w:t>
      </w:r>
      <w:proofErr w:type="gramEnd"/>
      <w:r>
        <w:rPr>
          <w:rFonts w:asciiTheme="minorHAnsi" w:hAnsiTheme="minorHAnsi"/>
        </w:rPr>
        <w:t xml:space="preserve"> independentes;</w:t>
      </w:r>
    </w:p>
    <w:p w:rsidR="00D01957" w:rsidRDefault="00D01957">
      <w:pPr>
        <w:ind w:left="-2" w:firstLine="718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III -</w:t>
      </w:r>
      <w:r>
        <w:rPr>
          <w:rFonts w:asciiTheme="minorHAnsi" w:hAnsiTheme="minorHAnsi"/>
        </w:rPr>
        <w:t xml:space="preserve"> escolas de música, de capoeira e de artes e estúdios, companhias e escolas de dança;</w:t>
      </w:r>
    </w:p>
    <w:p w:rsidR="00D01957" w:rsidRDefault="00D01957">
      <w:pPr>
        <w:ind w:left="115" w:firstLine="5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IV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circos</w:t>
      </w:r>
      <w:proofErr w:type="gramEnd"/>
      <w:r>
        <w:rPr>
          <w:rFonts w:asciiTheme="minorHAnsi" w:hAnsiTheme="minorHAnsi"/>
        </w:rPr>
        <w:t>;</w:t>
      </w:r>
    </w:p>
    <w:p w:rsidR="00D01957" w:rsidRDefault="00D01957">
      <w:pPr>
        <w:ind w:left="247" w:hanging="127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cineclubes</w:t>
      </w:r>
      <w:proofErr w:type="gramEnd"/>
      <w:r>
        <w:rPr>
          <w:rFonts w:asciiTheme="minorHAnsi" w:hAnsiTheme="minorHAnsi"/>
        </w:rPr>
        <w:t>;</w:t>
      </w:r>
    </w:p>
    <w:p w:rsidR="00D01957" w:rsidRDefault="00D01957">
      <w:pPr>
        <w:ind w:left="247" w:hanging="127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centros</w:t>
      </w:r>
      <w:proofErr w:type="gramEnd"/>
      <w:r>
        <w:rPr>
          <w:rFonts w:asciiTheme="minorHAnsi" w:hAnsiTheme="minorHAnsi"/>
        </w:rPr>
        <w:t xml:space="preserve"> culturais, casas de cultura e centros de tradição regionais;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VII -</w:t>
      </w:r>
      <w:r>
        <w:rPr>
          <w:rFonts w:asciiTheme="minorHAnsi" w:hAnsiTheme="minorHAnsi"/>
        </w:rPr>
        <w:t xml:space="preserve"> museus comunitários, centros de memória e patrimônio;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VIII -</w:t>
      </w:r>
      <w:r>
        <w:rPr>
          <w:rFonts w:asciiTheme="minorHAnsi" w:hAnsiTheme="minorHAnsi"/>
        </w:rPr>
        <w:t xml:space="preserve"> bibliotecas comunitárias;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IX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espaços</w:t>
      </w:r>
      <w:proofErr w:type="gramEnd"/>
      <w:r>
        <w:rPr>
          <w:rFonts w:asciiTheme="minorHAnsi" w:hAnsiTheme="minorHAnsi"/>
        </w:rPr>
        <w:t xml:space="preserve"> culturais em comunidades indígenas;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centros</w:t>
      </w:r>
      <w:proofErr w:type="gramEnd"/>
      <w:r>
        <w:rPr>
          <w:rFonts w:asciiTheme="minorHAnsi" w:hAnsiTheme="minorHAnsi"/>
        </w:rPr>
        <w:t xml:space="preserve"> artísticos e culturais afro-brasileiros;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XI -</w:t>
      </w:r>
      <w:r>
        <w:rPr>
          <w:rFonts w:asciiTheme="minorHAnsi" w:hAnsiTheme="minorHAnsi"/>
        </w:rPr>
        <w:t xml:space="preserve"> comunidades quilombolas;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XII -</w:t>
      </w:r>
      <w:r>
        <w:rPr>
          <w:rFonts w:asciiTheme="minorHAnsi" w:hAnsiTheme="minorHAnsi"/>
        </w:rPr>
        <w:t xml:space="preserve"> espaços de povos e comunidades tradicionais;</w:t>
      </w:r>
    </w:p>
    <w:p w:rsidR="00D01957" w:rsidRDefault="00D01957">
      <w:pPr>
        <w:ind w:left="247" w:hanging="127"/>
        <w:jc w:val="both"/>
        <w:rPr>
          <w:rFonts w:asciiTheme="minorHAnsi" w:hAnsiTheme="minorHAnsi"/>
        </w:rPr>
      </w:pPr>
    </w:p>
    <w:p w:rsidR="00D01957" w:rsidRDefault="00A77F35">
      <w:pPr>
        <w:ind w:left="13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XIII -</w:t>
      </w:r>
      <w:r>
        <w:rPr>
          <w:rFonts w:asciiTheme="minorHAnsi" w:hAnsiTheme="minorHAnsi"/>
        </w:rPr>
        <w:t xml:space="preserve"> festas populares, inclusive o carnaval e o São João, e outras de caráter regional;</w:t>
      </w:r>
    </w:p>
    <w:p w:rsidR="00D01957" w:rsidRDefault="00D01957">
      <w:pPr>
        <w:ind w:left="13" w:firstLine="0"/>
        <w:jc w:val="both"/>
        <w:rPr>
          <w:rFonts w:asciiTheme="minorHAnsi" w:hAnsiTheme="minorHAnsi"/>
        </w:rPr>
      </w:pPr>
    </w:p>
    <w:p w:rsidR="00D01957" w:rsidRDefault="00A77F35">
      <w:pPr>
        <w:ind w:left="13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XIV -</w:t>
      </w:r>
      <w:r>
        <w:rPr>
          <w:rFonts w:asciiTheme="minorHAnsi" w:hAnsiTheme="minorHAnsi"/>
        </w:rPr>
        <w:t xml:space="preserve"> teatro de rua e demais expressões artísticas e culturais realizadas em espaços    públicos;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XV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livrarias, editoras e sebos</w:t>
      </w:r>
      <w:proofErr w:type="gramEnd"/>
      <w:r>
        <w:rPr>
          <w:rFonts w:asciiTheme="minorHAnsi" w:hAnsiTheme="minorHAnsi"/>
        </w:rPr>
        <w:t>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XVI -</w:t>
      </w:r>
      <w:r>
        <w:rPr>
          <w:rFonts w:asciiTheme="minorHAnsi" w:hAnsiTheme="minorHAnsi"/>
        </w:rPr>
        <w:t xml:space="preserve"> empresas de diversão e produção de espetáculos;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XVII -</w:t>
      </w:r>
      <w:r>
        <w:rPr>
          <w:rFonts w:asciiTheme="minorHAnsi" w:hAnsiTheme="minorHAnsi"/>
        </w:rPr>
        <w:t xml:space="preserve"> estúdios de fotografia;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XVIII -</w:t>
      </w:r>
      <w:r>
        <w:rPr>
          <w:rFonts w:asciiTheme="minorHAnsi" w:hAnsiTheme="minorHAnsi"/>
        </w:rPr>
        <w:t xml:space="preserve"> produtoras de cinema e audiovisual;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XIX -</w:t>
      </w:r>
      <w:r>
        <w:rPr>
          <w:rFonts w:asciiTheme="minorHAnsi" w:hAnsiTheme="minorHAnsi"/>
        </w:rPr>
        <w:t xml:space="preserve"> ateliês de pintura, moda, design e artesanato;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XX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galerias</w:t>
      </w:r>
      <w:proofErr w:type="gramEnd"/>
      <w:r>
        <w:rPr>
          <w:rFonts w:asciiTheme="minorHAnsi" w:hAnsiTheme="minorHAnsi"/>
        </w:rPr>
        <w:t xml:space="preserve"> de arte e de fotografias;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XXI -</w:t>
      </w:r>
      <w:r>
        <w:rPr>
          <w:rFonts w:asciiTheme="minorHAnsi" w:hAnsiTheme="minorHAnsi"/>
        </w:rPr>
        <w:t xml:space="preserve"> feiras de arte e de artesanato;</w:t>
      </w:r>
    </w:p>
    <w:p w:rsidR="00D01957" w:rsidRDefault="00D01957">
      <w:pPr>
        <w:ind w:left="247" w:hanging="127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XXII -</w:t>
      </w:r>
      <w:r>
        <w:rPr>
          <w:rFonts w:asciiTheme="minorHAnsi" w:hAnsiTheme="minorHAnsi"/>
        </w:rPr>
        <w:t xml:space="preserve"> espaços de apresentação musical;</w:t>
      </w:r>
    </w:p>
    <w:p w:rsidR="00D01957" w:rsidRDefault="00D01957">
      <w:pPr>
        <w:ind w:left="247" w:hanging="127"/>
        <w:jc w:val="both"/>
        <w:rPr>
          <w:rFonts w:asciiTheme="minorHAnsi" w:hAnsiTheme="minorHAnsi"/>
        </w:rPr>
      </w:pPr>
    </w:p>
    <w:p w:rsidR="00D01957" w:rsidRDefault="00A77F35">
      <w:p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XXIII -</w:t>
      </w:r>
      <w:r>
        <w:rPr>
          <w:rFonts w:asciiTheme="minorHAnsi" w:hAnsiTheme="minorHAnsi"/>
        </w:rPr>
        <w:t xml:space="preserve"> espaços de literatura, poesia e literatura de cordel;</w:t>
      </w:r>
    </w:p>
    <w:p w:rsidR="00D01957" w:rsidRDefault="00D01957">
      <w:pPr>
        <w:ind w:left="13" w:firstLine="0"/>
        <w:jc w:val="both"/>
        <w:rPr>
          <w:rFonts w:asciiTheme="minorHAnsi" w:hAnsiTheme="minorHAnsi"/>
        </w:rPr>
      </w:pPr>
    </w:p>
    <w:p w:rsidR="00D01957" w:rsidRDefault="00A77F35">
      <w:pPr>
        <w:ind w:left="13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XXIV -</w:t>
      </w:r>
      <w:r>
        <w:rPr>
          <w:rFonts w:asciiTheme="minorHAnsi" w:hAnsiTheme="minorHAnsi"/>
        </w:rPr>
        <w:t xml:space="preserve"> espaços e centros de cultura alimentar de base comunitária, agroecológica e de culturas originárias, tradicionais e populares, e</w:t>
      </w:r>
    </w:p>
    <w:p w:rsidR="00D01957" w:rsidRDefault="00D01957">
      <w:pPr>
        <w:ind w:left="13" w:firstLine="715"/>
        <w:jc w:val="both"/>
        <w:rPr>
          <w:rFonts w:asciiTheme="minorHAnsi" w:hAnsiTheme="minorHAnsi"/>
        </w:rPr>
      </w:pPr>
    </w:p>
    <w:p w:rsidR="00D01957" w:rsidRDefault="00A77F35">
      <w:pPr>
        <w:ind w:left="13" w:firstLine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</w:rPr>
        <w:t>XXV –</w:t>
      </w:r>
      <w:r>
        <w:rPr>
          <w:rFonts w:asciiTheme="minorHAnsi" w:hAnsiTheme="minorHAnsi"/>
        </w:rPr>
        <w:t xml:space="preserve"> outros espaços e atividades artísticos e culturais validados </w:t>
      </w:r>
      <w:r>
        <w:rPr>
          <w:rFonts w:asciiTheme="minorHAnsi" w:hAnsiTheme="minorHAnsi"/>
          <w:color w:val="000000" w:themeColor="text1"/>
        </w:rPr>
        <w:t xml:space="preserve">no Cadastro de </w:t>
      </w:r>
      <w:r w:rsidR="00FF5BDD">
        <w:rPr>
          <w:rFonts w:asciiTheme="minorHAnsi" w:hAnsiTheme="minorHAnsi"/>
          <w:color w:val="000000" w:themeColor="text1"/>
        </w:rPr>
        <w:t>Agentes Culturais de Arcoverde, aberto especialmente em cumprimento às exigências da Lei Aldir Blanc.</w:t>
      </w:r>
    </w:p>
    <w:p w:rsidR="00D01957" w:rsidRPr="001318F5" w:rsidRDefault="00D01957" w:rsidP="00D36BC5">
      <w:pPr>
        <w:ind w:left="0" w:firstLine="0"/>
        <w:jc w:val="both"/>
        <w:rPr>
          <w:rFonts w:asciiTheme="minorHAnsi" w:hAnsiTheme="minorHAnsi"/>
        </w:rPr>
      </w:pPr>
    </w:p>
    <w:p w:rsidR="00D01957" w:rsidRPr="001318F5" w:rsidRDefault="0025583C">
      <w:pPr>
        <w:ind w:left="2" w:firstLine="706"/>
        <w:jc w:val="both"/>
      </w:pPr>
      <w:r w:rsidRPr="008831E0">
        <w:rPr>
          <w:rFonts w:asciiTheme="minorHAnsi" w:hAnsiTheme="minorHAnsi"/>
          <w:b/>
        </w:rPr>
        <w:t>Art. 7º</w:t>
      </w:r>
      <w:r w:rsidRPr="008831E0">
        <w:rPr>
          <w:rFonts w:asciiTheme="minorHAnsi" w:hAnsiTheme="minorHAnsi"/>
        </w:rPr>
        <w:t xml:space="preserve"> </w:t>
      </w:r>
      <w:r w:rsidR="00A77F35" w:rsidRPr="008831E0">
        <w:rPr>
          <w:rFonts w:asciiTheme="minorHAnsi" w:hAnsiTheme="minorHAnsi"/>
        </w:rPr>
        <w:t xml:space="preserve">O cadastro deverá ser efetuado previamente pelos agentes de cultura no </w:t>
      </w:r>
      <w:r w:rsidR="00D36BC5" w:rsidRPr="008831E0">
        <w:rPr>
          <w:rFonts w:asciiTheme="minorHAnsi" w:hAnsiTheme="minorHAnsi"/>
        </w:rPr>
        <w:t>site oficial da Prefeitura</w:t>
      </w:r>
      <w:r w:rsidR="00A77F35" w:rsidRPr="008831E0">
        <w:rPr>
          <w:rStyle w:val="LinkdaInternet"/>
          <w:rFonts w:asciiTheme="minorHAnsi" w:hAnsiTheme="minorHAnsi"/>
          <w:color w:val="auto"/>
          <w:u w:val="none"/>
        </w:rPr>
        <w:t xml:space="preserve">, </w:t>
      </w:r>
      <w:r w:rsidR="00A77F35" w:rsidRPr="008831E0">
        <w:rPr>
          <w:rFonts w:asciiTheme="minorHAnsi" w:hAnsiTheme="minorHAnsi"/>
        </w:rPr>
        <w:t>sendo esse</w:t>
      </w:r>
      <w:r w:rsidR="001318F5" w:rsidRPr="008831E0">
        <w:rPr>
          <w:rFonts w:asciiTheme="minorHAnsi" w:hAnsiTheme="minorHAnsi"/>
        </w:rPr>
        <w:t xml:space="preserve"> cadastro um</w:t>
      </w:r>
      <w:r w:rsidR="00A77F35" w:rsidRPr="008831E0">
        <w:rPr>
          <w:rFonts w:asciiTheme="minorHAnsi" w:hAnsiTheme="minorHAnsi"/>
        </w:rPr>
        <w:t xml:space="preserve"> requisito </w:t>
      </w:r>
      <w:r w:rsidR="001318F5" w:rsidRPr="008831E0">
        <w:rPr>
          <w:rFonts w:asciiTheme="minorHAnsi" w:hAnsiTheme="minorHAnsi"/>
        </w:rPr>
        <w:t>essencial</w:t>
      </w:r>
      <w:r w:rsidR="00A77F35" w:rsidRPr="008831E0">
        <w:rPr>
          <w:rFonts w:asciiTheme="minorHAnsi" w:hAnsiTheme="minorHAnsi"/>
        </w:rPr>
        <w:t xml:space="preserve"> para o recebimento dos recursos de que trata o presente Decreto.</w:t>
      </w:r>
      <w:r w:rsidR="00A77F35" w:rsidRPr="008831E0">
        <w:rPr>
          <w:rFonts w:asciiTheme="minorHAnsi" w:hAnsiTheme="minorHAnsi"/>
          <w:b/>
          <w:color w:val="385623" w:themeColor="accent6" w:themeShade="80"/>
        </w:rPr>
        <w:t xml:space="preserve"> </w:t>
      </w:r>
    </w:p>
    <w:p w:rsidR="00D01957" w:rsidRPr="001318F5" w:rsidRDefault="00A77F35">
      <w:pPr>
        <w:ind w:left="2" w:firstLine="706"/>
        <w:jc w:val="both"/>
        <w:rPr>
          <w:rFonts w:asciiTheme="minorHAnsi" w:hAnsiTheme="minorHAnsi"/>
        </w:rPr>
      </w:pPr>
      <w:r w:rsidRPr="001318F5">
        <w:rPr>
          <w:rFonts w:asciiTheme="minorHAnsi" w:hAnsiTheme="minorHAnsi"/>
        </w:rPr>
        <w:t xml:space="preserve"> </w:t>
      </w:r>
    </w:p>
    <w:p w:rsidR="00D01957" w:rsidRPr="0025583C" w:rsidRDefault="00DD4A2B" w:rsidP="00BA43EB">
      <w:pPr>
        <w:ind w:left="2" w:firstLine="706"/>
        <w:jc w:val="both"/>
        <w:rPr>
          <w:rFonts w:asciiTheme="minorHAnsi" w:hAnsiTheme="minorHAnsi"/>
          <w:highlight w:val="yellow"/>
        </w:rPr>
      </w:pPr>
      <w:r w:rsidRPr="006835D4">
        <w:rPr>
          <w:rFonts w:asciiTheme="minorHAnsi" w:hAnsiTheme="minorHAnsi"/>
          <w:b/>
          <w:bCs/>
        </w:rPr>
        <w:t xml:space="preserve">Art. 8° </w:t>
      </w:r>
      <w:r w:rsidR="00A77F35" w:rsidRPr="006835D4">
        <w:rPr>
          <w:rFonts w:asciiTheme="minorHAnsi" w:hAnsiTheme="minorHAnsi"/>
        </w:rPr>
        <w:t xml:space="preserve">O cadastro será submetido à homologação </w:t>
      </w:r>
      <w:r w:rsidR="001318F5" w:rsidRPr="006835D4">
        <w:rPr>
          <w:rFonts w:asciiTheme="minorHAnsi" w:hAnsiTheme="minorHAnsi"/>
        </w:rPr>
        <w:t>pelo(a)</w:t>
      </w:r>
      <w:r w:rsidR="00A77F35" w:rsidRPr="006835D4">
        <w:rPr>
          <w:rFonts w:asciiTheme="minorHAnsi" w:hAnsiTheme="minorHAnsi"/>
        </w:rPr>
        <w:t xml:space="preserve"> Secretári</w:t>
      </w:r>
      <w:r w:rsidR="001318F5" w:rsidRPr="006835D4">
        <w:rPr>
          <w:rFonts w:asciiTheme="minorHAnsi" w:hAnsiTheme="minorHAnsi"/>
        </w:rPr>
        <w:t>o(a)</w:t>
      </w:r>
      <w:r w:rsidR="00A77F35" w:rsidRPr="006835D4">
        <w:rPr>
          <w:rFonts w:asciiTheme="minorHAnsi" w:hAnsiTheme="minorHAnsi"/>
        </w:rPr>
        <w:t xml:space="preserve"> de Cultura e Comunicação de Arcoverde, tornando o agente de cultura apto ou não para o recebimento do recurso solicitado</w:t>
      </w:r>
      <w:r w:rsidR="006835D4">
        <w:rPr>
          <w:rFonts w:asciiTheme="minorHAnsi" w:hAnsiTheme="minorHAnsi"/>
        </w:rPr>
        <w:t>.</w:t>
      </w:r>
    </w:p>
    <w:p w:rsidR="00DD4A2B" w:rsidRPr="0025583C" w:rsidRDefault="00DD4A2B" w:rsidP="00BA43EB">
      <w:pPr>
        <w:ind w:left="2" w:firstLine="706"/>
        <w:jc w:val="both"/>
        <w:rPr>
          <w:rFonts w:asciiTheme="minorHAnsi" w:hAnsiTheme="minorHAnsi"/>
          <w:highlight w:val="yellow"/>
        </w:rPr>
      </w:pPr>
    </w:p>
    <w:p w:rsidR="00DD4A2B" w:rsidRDefault="00DD4A2B" w:rsidP="00BA43EB">
      <w:pPr>
        <w:ind w:left="2" w:firstLine="706"/>
        <w:jc w:val="both"/>
        <w:rPr>
          <w:rFonts w:asciiTheme="minorHAnsi" w:hAnsiTheme="minorHAnsi"/>
          <w:b/>
          <w:bCs/>
        </w:rPr>
      </w:pPr>
      <w:r w:rsidRPr="006835D4">
        <w:rPr>
          <w:rFonts w:asciiTheme="minorHAnsi" w:hAnsiTheme="minorHAnsi"/>
          <w:b/>
          <w:bCs/>
        </w:rPr>
        <w:t>Parágrafo único.</w:t>
      </w:r>
      <w:r w:rsidRPr="006835D4">
        <w:rPr>
          <w:rFonts w:asciiTheme="minorHAnsi" w:hAnsiTheme="minorHAnsi"/>
        </w:rPr>
        <w:t xml:space="preserve"> Enquanto perdurar o estado de calamidade pública reconhecida pelo Decreto Legislativo n° 6, de 20 de março de 2020, o município de Arcoverde, por meio da Secretaria de Cultura e Comunicação, adotará medidas que facilitem inclusões e alterações no seu Cadastro de Cultura.</w:t>
      </w: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hanging="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 SUBSÍDIO</w:t>
      </w: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</w:t>
      </w:r>
      <w:r w:rsidR="006835D4">
        <w:rPr>
          <w:rFonts w:asciiTheme="minorHAnsi" w:hAnsiTheme="minorHAnsi"/>
          <w:b/>
          <w:bCs/>
        </w:rPr>
        <w:t>9</w:t>
      </w:r>
      <w:r>
        <w:rPr>
          <w:rFonts w:asciiTheme="minorHAnsi" w:hAnsiTheme="minorHAnsi"/>
          <w:b/>
          <w:bCs/>
        </w:rPr>
        <w:t xml:space="preserve">° </w:t>
      </w:r>
      <w:r>
        <w:rPr>
          <w:rFonts w:asciiTheme="minorHAnsi" w:hAnsiTheme="minorHAnsi"/>
        </w:rPr>
        <w:t>O subsídio tratado no art. 2°, inciso I, deste Decreto, será repassado, em parcela única, para os agentes de cultura que tiveram as suas atividades interrompidas por força das medidas de isolamento social, e distribuído da seguinte forma: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 –</w:t>
      </w:r>
      <w:r>
        <w:rPr>
          <w:rFonts w:asciiTheme="minorHAnsi" w:hAnsiTheme="minorHAnsi"/>
        </w:rPr>
        <w:t xml:space="preserve"> R$3.000,00 (três mil reais) para o agente que se enquadrar na faixa I, e</w:t>
      </w: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–</w:t>
      </w:r>
      <w:r>
        <w:rPr>
          <w:rFonts w:asciiTheme="minorHAnsi" w:hAnsiTheme="minorHAnsi"/>
        </w:rPr>
        <w:t xml:space="preserve"> R$6.000,00 (seis mil reais) para o agente que se enquadrar na faixa II.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§1°</w:t>
      </w:r>
      <w:r>
        <w:rPr>
          <w:rFonts w:asciiTheme="minorHAnsi" w:hAnsiTheme="minorHAnsi"/>
        </w:rPr>
        <w:t xml:space="preserve"> O </w:t>
      </w:r>
      <w:bookmarkStart w:id="2" w:name="_Hlk49382771"/>
      <w:r>
        <w:rPr>
          <w:rFonts w:asciiTheme="minorHAnsi" w:hAnsiTheme="minorHAnsi"/>
        </w:rPr>
        <w:t xml:space="preserve">enquadramento dos agentes de cultura na faixa I ou II </w:t>
      </w:r>
      <w:bookmarkEnd w:id="2"/>
      <w:r>
        <w:rPr>
          <w:rFonts w:asciiTheme="minorHAnsi" w:hAnsiTheme="minorHAnsi"/>
        </w:rPr>
        <w:t>dependerá da pontuação atingida em decorrência das respostas aos quesitos que serão divulgados através de ato normativo e divulgados por meio do site oficial da Prefeitura de Arcoverde.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</w:rPr>
        <w:lastRenderedPageBreak/>
        <w:t xml:space="preserve">§2° </w:t>
      </w:r>
      <w:r>
        <w:rPr>
          <w:rFonts w:asciiTheme="minorHAnsi" w:hAnsiTheme="minorHAnsi"/>
        </w:rPr>
        <w:t xml:space="preserve">Os quesitos para enquadramento nas faixas de valores </w:t>
      </w:r>
      <w:r>
        <w:rPr>
          <w:rFonts w:asciiTheme="minorHAnsi" w:hAnsiTheme="minorHAnsi"/>
          <w:color w:val="000000" w:themeColor="text1"/>
        </w:rPr>
        <w:t xml:space="preserve">foram submetidos ao Conselho Municipal de Política Cultural de Arcoverde, que é composto por membros da sociedade civil e do poder público, em sessão realizada no dia 13 de agosto de 2020 (via Google </w:t>
      </w:r>
      <w:proofErr w:type="spellStart"/>
      <w:r>
        <w:rPr>
          <w:rFonts w:asciiTheme="minorHAnsi" w:hAnsiTheme="minorHAnsi"/>
          <w:color w:val="000000" w:themeColor="text1"/>
        </w:rPr>
        <w:t>Meet</w:t>
      </w:r>
      <w:proofErr w:type="spellEnd"/>
      <w:r>
        <w:rPr>
          <w:rFonts w:asciiTheme="minorHAnsi" w:hAnsiTheme="minorHAnsi"/>
          <w:color w:val="000000" w:themeColor="text1"/>
        </w:rPr>
        <w:t>).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</w:t>
      </w:r>
      <w:r w:rsidR="006835D4">
        <w:rPr>
          <w:rFonts w:asciiTheme="minorHAnsi" w:hAnsiTheme="minorHAnsi"/>
          <w:b/>
          <w:bCs/>
        </w:rPr>
        <w:t>10</w:t>
      </w:r>
      <w:r w:rsidR="00DD4A2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Considerando que o subsídio visa minimizar os impactos ocasionados pela pandemia da COVID-19 no setor cultural, seu valor somente poderá ser utilizado para saldar despesas que preencham cumulativamente os seguintes requisitos: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</w:rPr>
        <w:t>I -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sejam</w:t>
      </w:r>
      <w:proofErr w:type="gramEnd"/>
      <w:r>
        <w:rPr>
          <w:rFonts w:asciiTheme="minorHAnsi" w:hAnsiTheme="minorHAnsi"/>
        </w:rPr>
        <w:t xml:space="preserve"> relacionadas à manutenção da atividade cultural, </w:t>
      </w:r>
      <w:r>
        <w:rPr>
          <w:rFonts w:asciiTheme="minorHAnsi" w:hAnsiTheme="minorHAnsi"/>
          <w:color w:val="000000" w:themeColor="text1"/>
        </w:rPr>
        <w:t>como internet, transporte, aluguel, telefone, consumo de água e luz;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Pr="001318F5" w:rsidRDefault="00A77F35">
      <w:pPr>
        <w:ind w:left="2" w:firstLine="706"/>
        <w:jc w:val="both"/>
        <w:rPr>
          <w:rFonts w:asciiTheme="minorHAnsi" w:hAnsiTheme="minorHAnsi"/>
        </w:rPr>
      </w:pPr>
      <w:r w:rsidRPr="001318F5">
        <w:rPr>
          <w:rFonts w:asciiTheme="minorHAnsi" w:hAnsiTheme="minorHAnsi"/>
          <w:b/>
          <w:bCs/>
        </w:rPr>
        <w:t xml:space="preserve">II – </w:t>
      </w:r>
      <w:proofErr w:type="gramStart"/>
      <w:r w:rsidRPr="001318F5">
        <w:rPr>
          <w:rFonts w:asciiTheme="minorHAnsi" w:hAnsiTheme="minorHAnsi"/>
        </w:rPr>
        <w:t>sejam</w:t>
      </w:r>
      <w:proofErr w:type="gramEnd"/>
      <w:r w:rsidRPr="001318F5">
        <w:rPr>
          <w:rFonts w:asciiTheme="minorHAnsi" w:hAnsiTheme="minorHAnsi"/>
        </w:rPr>
        <w:t xml:space="preserve"> relacionadas à matéria-prima utilizada para atividade-fim dos agentes </w:t>
      </w:r>
      <w:r w:rsidR="00257F8E">
        <w:rPr>
          <w:rFonts w:asciiTheme="minorHAnsi" w:hAnsiTheme="minorHAnsi"/>
        </w:rPr>
        <w:t>culturais</w:t>
      </w:r>
      <w:r w:rsidRPr="001318F5">
        <w:rPr>
          <w:rFonts w:asciiTheme="minorHAnsi" w:hAnsiTheme="minorHAnsi"/>
        </w:rPr>
        <w:t>;</w:t>
      </w:r>
      <w:r w:rsidR="001318F5">
        <w:rPr>
          <w:rFonts w:asciiTheme="minorHAnsi" w:hAnsiTheme="minorHAnsi"/>
        </w:rPr>
        <w:t xml:space="preserve"> e</w:t>
      </w:r>
    </w:p>
    <w:p w:rsidR="00D01957" w:rsidRPr="001318F5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 w:rsidP="007B6BE1">
      <w:pPr>
        <w:tabs>
          <w:tab w:val="left" w:pos="2977"/>
        </w:tabs>
        <w:ind w:left="2" w:firstLine="706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b/>
          <w:bCs/>
        </w:rPr>
        <w:t>III -</w:t>
      </w:r>
      <w:r>
        <w:rPr>
          <w:rFonts w:asciiTheme="minorHAnsi" w:hAnsiTheme="minorHAnsi"/>
        </w:rPr>
        <w:t xml:space="preserve"> tenham sido originadas após o início da calamidade reconhecida pelo Decreto Legislativo n° 6, de 20 de março de 2020</w:t>
      </w:r>
      <w:r w:rsidR="00257F8E">
        <w:rPr>
          <w:rFonts w:asciiTheme="minorHAnsi" w:hAnsiTheme="minorHAnsi"/>
        </w:rPr>
        <w:t>, e</w:t>
      </w:r>
      <w:r w:rsidR="00930676">
        <w:rPr>
          <w:rFonts w:asciiTheme="minorHAnsi" w:hAnsiTheme="minorHAnsi"/>
        </w:rPr>
        <w:t xml:space="preserve"> </w:t>
      </w:r>
      <w:r w:rsidR="00930676" w:rsidRPr="00737370">
        <w:rPr>
          <w:rFonts w:asciiTheme="minorHAnsi" w:hAnsiTheme="minorHAnsi"/>
        </w:rPr>
        <w:t>até a prestação de contas</w:t>
      </w:r>
      <w:r w:rsidR="007B6BE1" w:rsidRPr="00737370">
        <w:rPr>
          <w:rFonts w:asciiTheme="minorHAnsi" w:hAnsiTheme="minorHAnsi"/>
        </w:rPr>
        <w:t xml:space="preserve"> referente ao uso deste benefício.</w:t>
      </w:r>
    </w:p>
    <w:p w:rsidR="00D01957" w:rsidRDefault="00D01957">
      <w:pPr>
        <w:ind w:left="0" w:firstLine="0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 xml:space="preserve">Parágrafo único. </w:t>
      </w:r>
      <w:r>
        <w:rPr>
          <w:rFonts w:asciiTheme="minorHAnsi" w:hAnsiTheme="minorHAnsi"/>
        </w:rPr>
        <w:t xml:space="preserve">A natureza do subsídio não é indenizatória, sendo vedado o reembolso de despesas já quitadas. 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Art. </w:t>
      </w:r>
      <w:r w:rsidR="000D054F">
        <w:rPr>
          <w:rFonts w:asciiTheme="minorHAnsi" w:hAnsiTheme="minorHAnsi"/>
          <w:b/>
          <w:bCs/>
        </w:rPr>
        <w:t>11</w:t>
      </w:r>
      <w:r>
        <w:rPr>
          <w:rFonts w:asciiTheme="minorHAnsi" w:hAnsiTheme="minorHAnsi"/>
        </w:rPr>
        <w:t xml:space="preserve"> Nos termos do art. 9° da Lei 14.017/2020, para recebimento do subsídio, os beneficiários ficarão obrigados a garantir como contrapartida, após o reinício de suas atividades, a realização de atividades destinadas, prioritariamente, aos alunos de escolas públicas ou de atividades em espaços públicos de sua comunidade, de forma gratuita, em intervalos regulares, em cooperação e planejamento definido com o Município.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bCs/>
        </w:rPr>
        <w:t xml:space="preserve">§1° </w:t>
      </w:r>
      <w:r>
        <w:rPr>
          <w:rFonts w:asciiTheme="minorHAnsi" w:hAnsiTheme="minorHAnsi"/>
        </w:rPr>
        <w:t xml:space="preserve">Os solicitantes do subsídio deverão apresentar, no ato do seu cadastro, sugestão de como e quando será executada a contrapartida, </w:t>
      </w:r>
      <w:r>
        <w:rPr>
          <w:rFonts w:asciiTheme="minorHAnsi" w:hAnsiTheme="minorHAnsi"/>
          <w:color w:val="000000" w:themeColor="text1"/>
        </w:rPr>
        <w:t>a qual deverá consistir em bens ou serviços economicamente mensuráveis.</w:t>
      </w:r>
    </w:p>
    <w:p w:rsidR="00D01957" w:rsidRDefault="00D01957">
      <w:pPr>
        <w:ind w:left="2" w:firstLine="706"/>
        <w:jc w:val="both"/>
        <w:rPr>
          <w:rFonts w:asciiTheme="minorHAnsi" w:hAnsiTheme="minorHAnsi"/>
          <w:color w:val="000000" w:themeColor="text1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/>
          <w:b/>
          <w:bCs/>
        </w:rPr>
        <w:t xml:space="preserve">2° </w:t>
      </w:r>
      <w:r>
        <w:rPr>
          <w:rFonts w:asciiTheme="minorHAnsi" w:hAnsiTheme="minorHAnsi"/>
        </w:rPr>
        <w:t xml:space="preserve">A contrapartida mencionada no </w:t>
      </w:r>
      <w:r>
        <w:rPr>
          <w:rFonts w:asciiTheme="minorHAnsi" w:hAnsiTheme="minorHAnsi"/>
          <w:i/>
          <w:iCs/>
        </w:rPr>
        <w:t>caput</w:t>
      </w:r>
      <w:r>
        <w:rPr>
          <w:rFonts w:asciiTheme="minorHAnsi" w:hAnsiTheme="minorHAnsi"/>
        </w:rPr>
        <w:t xml:space="preserve"> deste artigo, deverá ser executada no prazo máximo de até 90 (noventa) dias contados do término do estado de calamidade pública reconhecida no Decreto Legislativo n° 6, de 20 de março de 2020.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§3° </w:t>
      </w:r>
      <w:r>
        <w:rPr>
          <w:rFonts w:asciiTheme="minorHAnsi" w:hAnsiTheme="minorHAnsi"/>
        </w:rPr>
        <w:t xml:space="preserve">A sugestão da contrapartida será submetida </w:t>
      </w:r>
      <w:r w:rsidR="001318F5">
        <w:rPr>
          <w:rFonts w:asciiTheme="minorHAnsi" w:hAnsiTheme="minorHAnsi"/>
          <w:color w:val="000000" w:themeColor="text1"/>
        </w:rPr>
        <w:t>ao (à)</w:t>
      </w:r>
      <w:r>
        <w:rPr>
          <w:rFonts w:asciiTheme="minorHAnsi" w:hAnsiTheme="minorHAnsi"/>
          <w:color w:val="000000" w:themeColor="text1"/>
        </w:rPr>
        <w:t xml:space="preserve"> </w:t>
      </w:r>
      <w:bookmarkStart w:id="3" w:name="_Hlk49379444"/>
      <w:r w:rsidRPr="001318F5">
        <w:rPr>
          <w:rFonts w:asciiTheme="minorHAnsi" w:hAnsiTheme="minorHAnsi"/>
        </w:rPr>
        <w:t>Secretári</w:t>
      </w:r>
      <w:r w:rsidR="001318F5">
        <w:rPr>
          <w:rFonts w:asciiTheme="minorHAnsi" w:hAnsiTheme="minorHAnsi"/>
        </w:rPr>
        <w:t>o(a)</w:t>
      </w:r>
      <w:r>
        <w:rPr>
          <w:rFonts w:asciiTheme="minorHAnsi" w:hAnsiTheme="minorHAnsi"/>
          <w:color w:val="000000" w:themeColor="text1"/>
        </w:rPr>
        <w:t xml:space="preserve"> de Cultura e Comunicação do Município de Arcoverde</w:t>
      </w:r>
      <w:bookmarkEnd w:id="3"/>
      <w:r>
        <w:rPr>
          <w:rFonts w:asciiTheme="minorHAnsi" w:hAnsiTheme="minorHAnsi"/>
        </w:rPr>
        <w:t xml:space="preserve">, para a devida aprovação, podendo ser feitos eventuais ajustes para a sua execução.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§4°</w:t>
      </w:r>
      <w:r>
        <w:rPr>
          <w:rFonts w:asciiTheme="minorHAnsi" w:hAnsiTheme="minorHAnsi"/>
        </w:rPr>
        <w:t xml:space="preserve"> O cumprimento da contrapartida será verificado pel</w:t>
      </w:r>
      <w:r w:rsidR="001318F5">
        <w:rPr>
          <w:rFonts w:asciiTheme="minorHAnsi" w:hAnsiTheme="minorHAnsi"/>
        </w:rPr>
        <w:t>o(a)</w:t>
      </w:r>
      <w:r>
        <w:rPr>
          <w:rFonts w:asciiTheme="minorHAnsi" w:hAnsiTheme="minorHAnsi"/>
        </w:rPr>
        <w:t xml:space="preserve"> </w:t>
      </w:r>
      <w:r w:rsidRPr="001318F5">
        <w:rPr>
          <w:rFonts w:asciiTheme="minorHAnsi" w:hAnsiTheme="minorHAnsi"/>
        </w:rPr>
        <w:t>Secretári</w:t>
      </w:r>
      <w:r w:rsidR="001318F5">
        <w:rPr>
          <w:rFonts w:asciiTheme="minorHAnsi" w:hAnsiTheme="minorHAnsi"/>
        </w:rPr>
        <w:t>o(a)</w:t>
      </w:r>
      <w:r>
        <w:rPr>
          <w:rFonts w:asciiTheme="minorHAnsi" w:hAnsiTheme="minorHAnsi"/>
        </w:rPr>
        <w:t xml:space="preserve"> de Cultura e Comunicação do Município de Arcoverde, e o seu descumprimento implicará, cumulativamente: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 –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proibição de o beneficiário contratar com o Poder Público pelo prazo de 36 (trinta e seis) meses;</w:t>
      </w: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–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inabilitação do beneficiário para os programas públicos de incentivo à cultura que prevejam o recebimento de recursos público</w:t>
      </w:r>
      <w:r w:rsidR="000D054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, pelo prazo de 36 (trinta e seis) </w:t>
      </w:r>
      <w:r w:rsidR="00BE0FF0">
        <w:rPr>
          <w:rFonts w:asciiTheme="minorHAnsi" w:hAnsiTheme="minorHAnsi"/>
        </w:rPr>
        <w:t>meses, e</w:t>
      </w:r>
    </w:p>
    <w:p w:rsidR="00D01957" w:rsidRDefault="00A77F35">
      <w:pPr>
        <w:ind w:left="2" w:firstLine="706"/>
        <w:jc w:val="both"/>
      </w:pPr>
      <w:r>
        <w:rPr>
          <w:rFonts w:asciiTheme="minorHAnsi" w:hAnsiTheme="minorHAnsi"/>
          <w:b/>
          <w:bCs/>
        </w:rPr>
        <w:t xml:space="preserve">III – </w:t>
      </w:r>
      <w:r>
        <w:rPr>
          <w:rFonts w:asciiTheme="minorHAnsi" w:hAnsiTheme="minorHAnsi"/>
        </w:rPr>
        <w:t>a obrigação de restituir integralmente ao Poder Público Municipal o valor do subsídio recebido, sob pena de inscrição na Dívida Ativa Municipal e cobrança judicial.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Art. 1</w:t>
      </w:r>
      <w:r w:rsidR="000D054F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É vedada a concessão do subsídio aos espaços culturais criados pela administração pública de qualquer esfera ou vinculados a ela, bem como a espaços culturais vinculados a fundações, a institutos ou instituições criados ou mantidos por grupos de empresas, a teatros e casas de espetáculos de diversões com financiamento exclusivo de grupos empresariais e a espaços geridos pelos serviços sociais do Sistema S, conforme previsto no art. 8°, parágrafo único, da Lei n° 14.017/2020.</w:t>
      </w: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Art. 1</w:t>
      </w:r>
      <w:r w:rsidR="000D054F">
        <w:rPr>
          <w:rFonts w:asciiTheme="minorHAnsi" w:hAnsiTheme="minorHAnsi"/>
          <w:b/>
          <w:bCs/>
        </w:rPr>
        <w:t>3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Os beneficiários do subsídio deverão apresentar prestação de contas em até 120 (cento e vinte) dias contados do recebimento do recurso.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§1° </w:t>
      </w:r>
      <w:r>
        <w:rPr>
          <w:rFonts w:asciiTheme="minorHAnsi" w:hAnsiTheme="minorHAnsi"/>
        </w:rPr>
        <w:t xml:space="preserve">A forma de prestação de contas e os respectivos documentos e modelos serão definidos pelo Município de Arcoverde por ato formal, devidamente publicado no </w:t>
      </w:r>
      <w:r>
        <w:rPr>
          <w:rFonts w:asciiTheme="minorHAnsi" w:hAnsiTheme="minorHAnsi"/>
          <w:color w:val="000000" w:themeColor="text1"/>
        </w:rPr>
        <w:t>site oficial da Prefeitura.</w:t>
      </w:r>
    </w:p>
    <w:p w:rsidR="00D01957" w:rsidRDefault="00D01957">
      <w:pPr>
        <w:ind w:left="2" w:firstLine="706"/>
        <w:jc w:val="both"/>
        <w:rPr>
          <w:rFonts w:asciiTheme="minorHAnsi" w:hAnsiTheme="minorHAnsi"/>
          <w:color w:val="000000" w:themeColor="text1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 xml:space="preserve">§2° </w:t>
      </w:r>
      <w:r>
        <w:rPr>
          <w:rFonts w:asciiTheme="minorHAnsi" w:hAnsiTheme="minorHAnsi"/>
        </w:rPr>
        <w:t>A ausência de prestação de contas implicará, cumulativamente:</w:t>
      </w:r>
    </w:p>
    <w:p w:rsidR="00D01957" w:rsidRDefault="00D01957">
      <w:pPr>
        <w:ind w:left="2" w:firstLine="706"/>
        <w:jc w:val="both"/>
        <w:rPr>
          <w:rFonts w:asciiTheme="minorHAnsi" w:hAnsiTheme="minorHAnsi"/>
          <w:color w:val="FF0000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 –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proibição de o beneficiário contratar com o Poder Público pelo prazo de 36 (trinta e seis) meses;</w:t>
      </w:r>
    </w:p>
    <w:p w:rsidR="00BA43EB" w:rsidRDefault="00BA43EB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–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inabilitação do beneficiário para os programas públicos de incentivo à cultura que prevejam o recebimento de recursos público</w:t>
      </w:r>
      <w:r w:rsidR="00257F8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, pelo prazo de 36 (trinta e seis) </w:t>
      </w:r>
      <w:r w:rsidR="00BE0FF0">
        <w:rPr>
          <w:rFonts w:asciiTheme="minorHAnsi" w:hAnsiTheme="minorHAnsi"/>
        </w:rPr>
        <w:t>meses, e</w:t>
      </w:r>
    </w:p>
    <w:p w:rsidR="00BA43EB" w:rsidRDefault="00BA43EB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III – </w:t>
      </w:r>
      <w:r>
        <w:rPr>
          <w:rFonts w:asciiTheme="minorHAnsi" w:hAnsiTheme="minorHAnsi"/>
        </w:rPr>
        <w:t>a obrigação de restituir integralmente ao Poder Público Municipal o valor do subsídio recebido, sob pena de inscrição na Dívida Ativa Municipal e cobrança judicial.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 xml:space="preserve">§3° </w:t>
      </w:r>
      <w:r>
        <w:rPr>
          <w:rFonts w:asciiTheme="minorHAnsi" w:hAnsiTheme="minorHAnsi" w:cstheme="minorHAnsi"/>
        </w:rPr>
        <w:t xml:space="preserve">Se a prestação de contas apresentada comprovar apenas parcialmente a utilização do recurso recebido, o valor não comprovado deverá ser restituído ao Poder Público Municipal, </w:t>
      </w:r>
      <w:r>
        <w:rPr>
          <w:rFonts w:asciiTheme="minorHAnsi" w:hAnsiTheme="minorHAnsi"/>
        </w:rPr>
        <w:t>sob pena de inscrição na Dívida Ativa Municipal e cobrança judicial.</w:t>
      </w:r>
    </w:p>
    <w:p w:rsidR="001649B2" w:rsidRDefault="001649B2">
      <w:pPr>
        <w:ind w:left="2" w:firstLine="706"/>
        <w:jc w:val="both"/>
        <w:rPr>
          <w:rFonts w:asciiTheme="minorHAnsi" w:hAnsiTheme="minorHAnsi"/>
        </w:rPr>
      </w:pPr>
    </w:p>
    <w:p w:rsidR="001649B2" w:rsidRDefault="001649B2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-2" w:firstLine="722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DOS EDITAIS, DAS CHAMADAS PÚBLICAS E DOS INSTRUMENTOS APLICÁVEIS</w:t>
      </w:r>
    </w:p>
    <w:p w:rsidR="00D01957" w:rsidRDefault="00D01957" w:rsidP="001649B2">
      <w:pPr>
        <w:ind w:left="0" w:firstLine="0"/>
        <w:rPr>
          <w:rFonts w:asciiTheme="minorHAnsi" w:hAnsiTheme="minorHAnsi"/>
          <w:b/>
          <w:bCs/>
        </w:rPr>
      </w:pPr>
    </w:p>
    <w:p w:rsidR="00D01957" w:rsidRDefault="00A77F35">
      <w:pPr>
        <w:ind w:left="-2" w:firstLine="722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Art. 1</w:t>
      </w:r>
      <w:r w:rsidR="000D054F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O Município de Arcoverde, por meio da Secretaria de Cultura e Comunicação, elaborará e publicará editais, chamadas públicas ou outros instrumentos aplicáveis, para distribuição de prêmios, aquisição de bens e serviços vinculados ao setor cultural e outros instrumentos destinados à manutenção de agentes, de espaços, de iniciativas, de cursos, de produções, de desenvolvimento de atividades de economia criativa e de economia solidária, de produções audiovisuais, de manifestações culturais, e realização de atividades artísticas e culturais que possam ser transmitidas pela internet ou disponibilizadas por meio de redes sociais e outras plataformas digitais ou presencialmente,</w:t>
      </w:r>
      <w:r w:rsidR="00257F8E">
        <w:rPr>
          <w:rFonts w:asciiTheme="minorHAnsi" w:hAnsiTheme="minorHAnsi"/>
        </w:rPr>
        <w:t xml:space="preserve"> </w:t>
      </w:r>
      <w:r w:rsidR="00257F8E" w:rsidRPr="00737370">
        <w:rPr>
          <w:rFonts w:asciiTheme="minorHAnsi" w:hAnsiTheme="minorHAnsi"/>
        </w:rPr>
        <w:t>de acordo com os protocolos sanitários vigentes à época da execução do projeto.</w:t>
      </w:r>
    </w:p>
    <w:p w:rsidR="00D01957" w:rsidRDefault="00D01957">
      <w:pPr>
        <w:ind w:left="-2" w:firstLine="722"/>
        <w:jc w:val="both"/>
        <w:rPr>
          <w:rFonts w:asciiTheme="minorHAnsi" w:hAnsiTheme="minorHAnsi"/>
        </w:rPr>
      </w:pPr>
    </w:p>
    <w:p w:rsidR="00D01957" w:rsidRDefault="00A77F35">
      <w:pPr>
        <w:ind w:left="-2" w:firstLine="722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Parágrafo único.</w:t>
      </w:r>
      <w:r>
        <w:rPr>
          <w:rFonts w:asciiTheme="minorHAnsi" w:hAnsiTheme="minorHAnsi"/>
        </w:rPr>
        <w:t xml:space="preserve"> Os instrumentos, aos quais será dada a devida publicidade, disciplinarão os procedimentos e os requisitos para distribuição do recurso entre os agentes culturais, observado o disposto no §3° do artigo 2° do presente Decreto.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Art. 1</w:t>
      </w:r>
      <w:r w:rsidR="000D054F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</w:rPr>
        <w:t xml:space="preserve"> O cumprimento das atividades culturais pelo beneficiário, no prazo e na forma estabelecidos nos projetos aprovados, será verificado pel</w:t>
      </w:r>
      <w:r w:rsidR="000D054F">
        <w:rPr>
          <w:rFonts w:asciiTheme="minorHAnsi" w:hAnsiTheme="minorHAnsi"/>
        </w:rPr>
        <w:t>o(</w:t>
      </w:r>
      <w:r>
        <w:rPr>
          <w:rFonts w:asciiTheme="minorHAnsi" w:hAnsiTheme="minorHAnsi"/>
        </w:rPr>
        <w:t>a</w:t>
      </w:r>
      <w:r w:rsidR="000D054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Secretári</w:t>
      </w:r>
      <w:r w:rsidR="000D054F">
        <w:rPr>
          <w:rFonts w:asciiTheme="minorHAnsi" w:hAnsiTheme="minorHAnsi"/>
        </w:rPr>
        <w:t>o(</w:t>
      </w:r>
      <w:r>
        <w:rPr>
          <w:rFonts w:asciiTheme="minorHAnsi" w:hAnsiTheme="minorHAnsi"/>
        </w:rPr>
        <w:t>a</w:t>
      </w:r>
      <w:r w:rsidR="000D054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de Cultura e Comunicação do Município de Arcoverde, e o seu descumprimento implicará, cumulativamente: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 –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proibição de o beneficiário contratar com o Poder Público pelo prazo de 36 (trinta e seis) meses;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II –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inabilitação do beneficiário para os programas públicos de incentivo à cultura que prevejam o recebimento de recursos público, pelo prazo de 36 (trinta e seis) </w:t>
      </w:r>
      <w:r w:rsidR="00BE0FF0">
        <w:rPr>
          <w:rFonts w:asciiTheme="minorHAnsi" w:hAnsiTheme="minorHAnsi"/>
        </w:rPr>
        <w:t>meses, e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III – </w:t>
      </w:r>
      <w:r>
        <w:rPr>
          <w:rFonts w:asciiTheme="minorHAnsi" w:hAnsiTheme="minorHAnsi"/>
        </w:rPr>
        <w:t>a obrigação de restituir integralmente ao Poder Público Municipal o valor do recurso recebido, sob pena de inscrição na Dívida Ativa Municipal e cobrança judicial.</w:t>
      </w:r>
    </w:p>
    <w:p w:rsidR="00D01957" w:rsidRDefault="00D01957">
      <w:pPr>
        <w:ind w:left="0" w:firstLine="0"/>
        <w:jc w:val="both"/>
        <w:rPr>
          <w:rFonts w:asciiTheme="minorHAnsi" w:hAnsiTheme="minorHAnsi"/>
        </w:rPr>
      </w:pPr>
    </w:p>
    <w:p w:rsidR="00D01957" w:rsidRDefault="00A77F35">
      <w:pPr>
        <w:ind w:left="2" w:firstLine="70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Art. 1</w:t>
      </w:r>
      <w:r w:rsidR="000D054F">
        <w:rPr>
          <w:rFonts w:asciiTheme="minorHAnsi" w:hAnsiTheme="minorHAnsi"/>
          <w:b/>
          <w:bCs/>
        </w:rPr>
        <w:t>6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 xml:space="preserve">Este decreto entra em vigor na data de sua publicação. </w:t>
      </w:r>
    </w:p>
    <w:p w:rsidR="00D01957" w:rsidRDefault="00D01957">
      <w:pPr>
        <w:ind w:left="2" w:firstLine="706"/>
        <w:jc w:val="both"/>
        <w:rPr>
          <w:rFonts w:asciiTheme="minorHAnsi" w:hAnsiTheme="minorHAnsi"/>
        </w:rPr>
      </w:pPr>
    </w:p>
    <w:p w:rsidR="00D01957" w:rsidRDefault="00D01957">
      <w:pPr>
        <w:ind w:left="2" w:firstLine="706"/>
        <w:jc w:val="both"/>
        <w:rPr>
          <w:rFonts w:asciiTheme="minorHAnsi" w:hAnsiTheme="minorHAnsi"/>
          <w:b/>
          <w:bCs/>
        </w:rPr>
      </w:pPr>
    </w:p>
    <w:p w:rsidR="00D01957" w:rsidRDefault="00A77F35">
      <w:pPr>
        <w:ind w:left="2" w:hanging="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Arcoverde, 1</w:t>
      </w:r>
      <w:r w:rsidR="000D054F">
        <w:rPr>
          <w:rFonts w:asciiTheme="minorHAnsi" w:hAnsiTheme="minorHAnsi"/>
          <w:b/>
          <w:bCs/>
        </w:rPr>
        <w:t>6</w:t>
      </w:r>
      <w:r>
        <w:rPr>
          <w:rFonts w:asciiTheme="minorHAnsi" w:hAnsiTheme="minorHAnsi"/>
          <w:b/>
          <w:bCs/>
        </w:rPr>
        <w:t xml:space="preserve"> de setembro de 2020.</w:t>
      </w:r>
    </w:p>
    <w:p w:rsidR="00D01957" w:rsidRDefault="00D01957">
      <w:pPr>
        <w:ind w:left="2" w:hanging="2"/>
        <w:jc w:val="center"/>
        <w:rPr>
          <w:rFonts w:asciiTheme="minorHAnsi" w:hAnsiTheme="minorHAnsi"/>
          <w:b/>
          <w:bCs/>
        </w:rPr>
      </w:pPr>
    </w:p>
    <w:p w:rsidR="00D01957" w:rsidRDefault="00D01957">
      <w:pPr>
        <w:ind w:left="2" w:hanging="2"/>
        <w:jc w:val="center"/>
        <w:rPr>
          <w:rFonts w:asciiTheme="minorHAnsi" w:hAnsiTheme="minorHAnsi"/>
          <w:b/>
          <w:bCs/>
        </w:rPr>
      </w:pPr>
    </w:p>
    <w:p w:rsidR="00D01957" w:rsidRDefault="00A77F35">
      <w:pPr>
        <w:ind w:left="2" w:hanging="2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MARIA MADALENA SANTOS DE BRITTO</w:t>
      </w:r>
    </w:p>
    <w:p w:rsidR="00D01957" w:rsidRDefault="00A77F35">
      <w:pPr>
        <w:ind w:left="2" w:hanging="2"/>
        <w:jc w:val="center"/>
      </w:pPr>
      <w:r>
        <w:rPr>
          <w:rFonts w:asciiTheme="minorHAnsi" w:hAnsiTheme="minorHAnsi"/>
          <w:b/>
          <w:bCs/>
        </w:rPr>
        <w:t>PREFEITA</w:t>
      </w:r>
    </w:p>
    <w:sectPr w:rsidR="00D019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31" w:rsidRDefault="00692431">
      <w:pPr>
        <w:spacing w:line="240" w:lineRule="auto"/>
      </w:pPr>
      <w:r>
        <w:separator/>
      </w:r>
    </w:p>
  </w:endnote>
  <w:endnote w:type="continuationSeparator" w:id="0">
    <w:p w:rsidR="00692431" w:rsidRDefault="00692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lessTLig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57" w:rsidRDefault="00D0195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31" w:rsidRDefault="00692431">
      <w:pPr>
        <w:spacing w:line="240" w:lineRule="auto"/>
      </w:pPr>
      <w:r>
        <w:separator/>
      </w:r>
    </w:p>
  </w:footnote>
  <w:footnote w:type="continuationSeparator" w:id="0">
    <w:p w:rsidR="00692431" w:rsidRDefault="00692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957" w:rsidRPr="001318F5" w:rsidRDefault="00D01957" w:rsidP="001318F5">
    <w:pPr>
      <w:tabs>
        <w:tab w:val="left" w:pos="1300"/>
      </w:tabs>
      <w:spacing w:line="360" w:lineRule="auto"/>
      <w:ind w:left="-1701" w:firstLine="1699"/>
      <w:jc w:val="center"/>
      <w:rPr>
        <w:rFonts w:eastAsia="Arial" w:cs="Arial"/>
        <w:b/>
        <w:color w:val="000000"/>
        <w:sz w:val="22"/>
        <w:szCs w:val="22"/>
      </w:rPr>
    </w:pPr>
  </w:p>
  <w:p w:rsidR="001318F5" w:rsidRPr="00DB3800" w:rsidRDefault="001318F5" w:rsidP="001318F5">
    <w:pPr>
      <w:pBdr>
        <w:top w:val="nil"/>
        <w:left w:val="nil"/>
        <w:bottom w:val="nil"/>
        <w:right w:val="nil"/>
        <w:between w:val="nil"/>
      </w:pBdr>
      <w:tabs>
        <w:tab w:val="left" w:pos="1300"/>
      </w:tabs>
      <w:spacing w:line="240" w:lineRule="auto"/>
      <w:ind w:left="0" w:hanging="2"/>
      <w:jc w:val="center"/>
      <w:rPr>
        <w:rFonts w:asciiTheme="minorHAnsi" w:eastAsia="Arial" w:hAnsiTheme="minorHAnsi" w:cs="Arial"/>
      </w:rPr>
    </w:pPr>
    <w:bookmarkStart w:id="4" w:name="_Hlk51052196"/>
    <w:r w:rsidRPr="00DB3800">
      <w:rPr>
        <w:rFonts w:asciiTheme="minorHAnsi" w:hAnsiTheme="minorHAnsi"/>
        <w:noProof/>
        <w:lang w:eastAsia="pt-BR"/>
      </w:rPr>
      <w:drawing>
        <wp:anchor distT="0" distB="0" distL="0" distR="0" simplePos="0" relativeHeight="251659264" behindDoc="0" locked="0" layoutInCell="1" hidden="0" allowOverlap="1" wp14:anchorId="4267D682" wp14:editId="249D0D99">
          <wp:simplePos x="0" y="0"/>
          <wp:positionH relativeFrom="column">
            <wp:posOffset>186690</wp:posOffset>
          </wp:positionH>
          <wp:positionV relativeFrom="paragraph">
            <wp:posOffset>-135255</wp:posOffset>
          </wp:positionV>
          <wp:extent cx="1219200" cy="10287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460" t="7096" r="3037" b="4210"/>
                  <a:stretch/>
                </pic:blipFill>
                <pic:spPr bwMode="auto">
                  <a:xfrm>
                    <a:off x="0" y="0"/>
                    <a:ext cx="12192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800">
      <w:rPr>
        <w:rFonts w:asciiTheme="minorHAnsi" w:eastAsia="Arial" w:hAnsiTheme="minorHAnsi" w:cs="Arial"/>
        <w:b/>
      </w:rPr>
      <w:t>PREFEITURA MUNICIPAL DE ARCOVERDE</w:t>
    </w:r>
  </w:p>
  <w:p w:rsidR="001318F5" w:rsidRPr="00DB3800" w:rsidRDefault="001318F5" w:rsidP="001318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inorHAnsi" w:eastAsia="Arial" w:hAnsiTheme="minorHAnsi" w:cs="Arial"/>
        <w:b/>
      </w:rPr>
    </w:pPr>
    <w:r w:rsidRPr="00DB3800">
      <w:rPr>
        <w:rFonts w:asciiTheme="minorHAnsi" w:eastAsia="Arial" w:hAnsiTheme="minorHAnsi" w:cs="Arial"/>
        <w:b/>
      </w:rPr>
      <w:t>Av. Cap. Arlindo Pacheco de Albuquerque, n° 88, Centro, Arcoverde-PE</w:t>
    </w:r>
  </w:p>
  <w:p w:rsidR="001318F5" w:rsidRPr="00DB3800" w:rsidRDefault="001318F5" w:rsidP="001318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Theme="minorHAnsi" w:eastAsia="Arial" w:hAnsiTheme="minorHAnsi" w:cs="Arial"/>
        <w:b/>
      </w:rPr>
    </w:pPr>
    <w:r w:rsidRPr="00DB3800">
      <w:rPr>
        <w:rFonts w:asciiTheme="minorHAnsi" w:eastAsia="Arial" w:hAnsiTheme="minorHAnsi" w:cs="Arial"/>
        <w:b/>
      </w:rPr>
      <w:t xml:space="preserve">CNPJ - 10.105.955/0001-67 </w:t>
    </w:r>
  </w:p>
  <w:bookmarkEnd w:id="4"/>
  <w:p w:rsidR="00D01957" w:rsidRDefault="00D01957">
    <w:pPr>
      <w:spacing w:line="360" w:lineRule="auto"/>
      <w:ind w:left="0" w:hanging="2"/>
      <w:jc w:val="center"/>
      <w:rPr>
        <w:rFonts w:eastAsia="TimelessTLig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57"/>
    <w:rsid w:val="000B762E"/>
    <w:rsid w:val="000D054F"/>
    <w:rsid w:val="001318F5"/>
    <w:rsid w:val="001649B2"/>
    <w:rsid w:val="00174C86"/>
    <w:rsid w:val="0025583C"/>
    <w:rsid w:val="00257F8E"/>
    <w:rsid w:val="003E4DB9"/>
    <w:rsid w:val="004D213C"/>
    <w:rsid w:val="00676D26"/>
    <w:rsid w:val="006835D4"/>
    <w:rsid w:val="00692431"/>
    <w:rsid w:val="00737370"/>
    <w:rsid w:val="007B6BE1"/>
    <w:rsid w:val="007D20AF"/>
    <w:rsid w:val="008831E0"/>
    <w:rsid w:val="00930676"/>
    <w:rsid w:val="00985CF3"/>
    <w:rsid w:val="00A77F35"/>
    <w:rsid w:val="00A82FE5"/>
    <w:rsid w:val="00B53344"/>
    <w:rsid w:val="00BA43EB"/>
    <w:rsid w:val="00BB552A"/>
    <w:rsid w:val="00BE0FF0"/>
    <w:rsid w:val="00CA2DEA"/>
    <w:rsid w:val="00D01957"/>
    <w:rsid w:val="00D36BC5"/>
    <w:rsid w:val="00D4424F"/>
    <w:rsid w:val="00DD4A2B"/>
    <w:rsid w:val="00E30DF8"/>
    <w:rsid w:val="00ED1DE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6BF39"/>
  <w15:docId w15:val="{D8492E2C-3D0B-4201-B31C-FE7DAEB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lessTLig" w:eastAsiaTheme="minorHAnsi" w:hAnsi="TimelessTLig" w:cs="TimelessTLig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77E"/>
    <w:pPr>
      <w:spacing w:line="1" w:lineRule="atLeast"/>
      <w:ind w:left="-1" w:hanging="1"/>
      <w:textAlignment w:val="top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38F6"/>
    <w:rPr>
      <w:rFonts w:ascii="TimelessTLig" w:eastAsia="Times New Roman" w:hAnsi="TimelessTLig" w:cs="TimelessTLig"/>
      <w:sz w:val="14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5238F6"/>
    <w:rPr>
      <w:rFonts w:ascii="TimelessTLig" w:eastAsia="Times New Roman" w:hAnsi="TimelessTLig" w:cs="TimelessTLig"/>
      <w:sz w:val="14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7EE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C10DE"/>
    <w:rPr>
      <w:rFonts w:ascii="Carlito" w:eastAsia="Carlito" w:hAnsi="Carlito" w:cs="Carlito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A31F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31FEB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position w:val="0"/>
      <w:sz w:val="24"/>
      <w:vertAlign w:val="baseline"/>
    </w:rPr>
  </w:style>
  <w:style w:type="character" w:customStyle="1" w:styleId="ListLabel2">
    <w:name w:val="ListLabel 2"/>
    <w:qFormat/>
    <w:rPr>
      <w:position w:val="0"/>
      <w:sz w:val="24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4"/>
      <w:vertAlign w:val="baseline"/>
    </w:rPr>
  </w:style>
  <w:style w:type="character" w:customStyle="1" w:styleId="ListLabel5">
    <w:name w:val="ListLabel 5"/>
    <w:qFormat/>
    <w:rPr>
      <w:position w:val="0"/>
      <w:sz w:val="24"/>
      <w:vertAlign w:val="baseline"/>
    </w:rPr>
  </w:style>
  <w:style w:type="character" w:customStyle="1" w:styleId="ListLabel6">
    <w:name w:val="ListLabel 6"/>
    <w:qFormat/>
    <w:rPr>
      <w:position w:val="0"/>
      <w:sz w:val="24"/>
      <w:vertAlign w:val="baseline"/>
    </w:rPr>
  </w:style>
  <w:style w:type="character" w:customStyle="1" w:styleId="ListLabel7">
    <w:name w:val="ListLabel 7"/>
    <w:qFormat/>
    <w:rPr>
      <w:position w:val="0"/>
      <w:sz w:val="24"/>
      <w:vertAlign w:val="baseline"/>
    </w:rPr>
  </w:style>
  <w:style w:type="character" w:customStyle="1" w:styleId="ListLabel8">
    <w:name w:val="ListLabel 8"/>
    <w:qFormat/>
    <w:rPr>
      <w:position w:val="0"/>
      <w:sz w:val="24"/>
      <w:vertAlign w:val="baseline"/>
    </w:rPr>
  </w:style>
  <w:style w:type="character" w:customStyle="1" w:styleId="ListLabel9">
    <w:name w:val="ListLabel 9"/>
    <w:qFormat/>
    <w:rPr>
      <w:position w:val="0"/>
      <w:sz w:val="24"/>
      <w:vertAlign w:val="baseline"/>
    </w:rPr>
  </w:style>
  <w:style w:type="character" w:customStyle="1" w:styleId="ListLabel10">
    <w:name w:val="ListLabel 10"/>
    <w:qFormat/>
    <w:rPr>
      <w:position w:val="0"/>
      <w:sz w:val="24"/>
      <w:vertAlign w:val="baseline"/>
    </w:rPr>
  </w:style>
  <w:style w:type="character" w:customStyle="1" w:styleId="ListLabel11">
    <w:name w:val="ListLabel 11"/>
    <w:qFormat/>
    <w:rPr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4"/>
      <w:vertAlign w:val="baseline"/>
    </w:rPr>
  </w:style>
  <w:style w:type="character" w:customStyle="1" w:styleId="ListLabel14">
    <w:name w:val="ListLabel 14"/>
    <w:qFormat/>
    <w:rPr>
      <w:position w:val="0"/>
      <w:sz w:val="24"/>
      <w:vertAlign w:val="baseline"/>
    </w:rPr>
  </w:style>
  <w:style w:type="character" w:customStyle="1" w:styleId="ListLabel15">
    <w:name w:val="ListLabel 15"/>
    <w:qFormat/>
    <w:rPr>
      <w:position w:val="0"/>
      <w:sz w:val="24"/>
      <w:vertAlign w:val="baseline"/>
    </w:rPr>
  </w:style>
  <w:style w:type="character" w:customStyle="1" w:styleId="ListLabel16">
    <w:name w:val="ListLabel 16"/>
    <w:qFormat/>
    <w:rPr>
      <w:position w:val="0"/>
      <w:sz w:val="24"/>
      <w:vertAlign w:val="baseline"/>
    </w:rPr>
  </w:style>
  <w:style w:type="character" w:customStyle="1" w:styleId="ListLabel17">
    <w:name w:val="ListLabel 17"/>
    <w:qFormat/>
    <w:rPr>
      <w:position w:val="0"/>
      <w:sz w:val="24"/>
      <w:vertAlign w:val="baseline"/>
    </w:rPr>
  </w:style>
  <w:style w:type="character" w:customStyle="1" w:styleId="ListLabel18">
    <w:name w:val="ListLabel 18"/>
    <w:qFormat/>
    <w:rPr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Tahoma" w:cs="Tahoma"/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4"/>
      <w:vertAlign w:val="baseline"/>
    </w:rPr>
  </w:style>
  <w:style w:type="character" w:customStyle="1" w:styleId="ListLabel21">
    <w:name w:val="ListLabel 21"/>
    <w:qFormat/>
    <w:rPr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4"/>
      <w:vertAlign w:val="baseline"/>
    </w:rPr>
  </w:style>
  <w:style w:type="character" w:customStyle="1" w:styleId="ListLabel23">
    <w:name w:val="ListLabel 23"/>
    <w:qFormat/>
    <w:rPr>
      <w:position w:val="0"/>
      <w:sz w:val="24"/>
      <w:vertAlign w:val="baseline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4"/>
      <w:vertAlign w:val="baseline"/>
    </w:rPr>
  </w:style>
  <w:style w:type="character" w:customStyle="1" w:styleId="ListLabel26">
    <w:name w:val="ListLabel 26"/>
    <w:qFormat/>
    <w:rPr>
      <w:position w:val="0"/>
      <w:sz w:val="24"/>
      <w:vertAlign w:val="baseline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imelessTLig" w:cs="TimelessTLig"/>
      <w:color w:val="000000"/>
      <w:position w:val="0"/>
      <w:sz w:val="24"/>
      <w:vertAlign w:val="baseline"/>
    </w:rPr>
  </w:style>
  <w:style w:type="character" w:customStyle="1" w:styleId="ListLabel29">
    <w:name w:val="ListLabel 29"/>
    <w:qFormat/>
    <w:rPr>
      <w:position w:val="0"/>
      <w:sz w:val="24"/>
      <w:vertAlign w:val="baseline"/>
    </w:rPr>
  </w:style>
  <w:style w:type="character" w:customStyle="1" w:styleId="ListLabel30">
    <w:name w:val="ListLabel 30"/>
    <w:qFormat/>
    <w:rPr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4"/>
      <w:vertAlign w:val="baseline"/>
    </w:rPr>
  </w:style>
  <w:style w:type="character" w:customStyle="1" w:styleId="ListLabel32">
    <w:name w:val="ListLabel 32"/>
    <w:qFormat/>
    <w:rPr>
      <w:position w:val="0"/>
      <w:sz w:val="24"/>
      <w:vertAlign w:val="baseline"/>
    </w:rPr>
  </w:style>
  <w:style w:type="character" w:customStyle="1" w:styleId="ListLabel33">
    <w:name w:val="ListLabel 33"/>
    <w:qFormat/>
    <w:rPr>
      <w:position w:val="0"/>
      <w:sz w:val="24"/>
      <w:vertAlign w:val="baseline"/>
    </w:rPr>
  </w:style>
  <w:style w:type="character" w:customStyle="1" w:styleId="ListLabel34">
    <w:name w:val="ListLabel 34"/>
    <w:qFormat/>
    <w:rPr>
      <w:position w:val="0"/>
      <w:sz w:val="24"/>
      <w:vertAlign w:val="baseline"/>
    </w:rPr>
  </w:style>
  <w:style w:type="character" w:customStyle="1" w:styleId="ListLabel35">
    <w:name w:val="ListLabel 35"/>
    <w:qFormat/>
    <w:rPr>
      <w:position w:val="0"/>
      <w:sz w:val="24"/>
      <w:vertAlign w:val="baseline"/>
    </w:rPr>
  </w:style>
  <w:style w:type="character" w:customStyle="1" w:styleId="ListLabel36">
    <w:name w:val="ListLabel 36"/>
    <w:qFormat/>
    <w:rPr>
      <w:position w:val="0"/>
      <w:sz w:val="24"/>
      <w:vertAlign w:val="baseline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  <w:sz w:val="22"/>
      <w:szCs w:val="24"/>
    </w:rPr>
  </w:style>
  <w:style w:type="character" w:customStyle="1" w:styleId="ListLabel39">
    <w:name w:val="ListLabel 39"/>
    <w:qFormat/>
    <w:rPr>
      <w:b w:val="0"/>
      <w:sz w:val="22"/>
      <w:szCs w:val="24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Theme="minorHAnsi" w:hAnsiTheme="minorHAnsi"/>
      <w:color w:val="FF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C10DE"/>
    <w:pPr>
      <w:spacing w:before="9" w:line="240" w:lineRule="auto"/>
      <w:ind w:left="0" w:firstLine="0"/>
      <w:textAlignment w:val="auto"/>
    </w:pPr>
    <w:rPr>
      <w:rFonts w:ascii="Carlito" w:eastAsia="Carlito" w:hAnsi="Carlito" w:cs="Carlito"/>
      <w:sz w:val="22"/>
      <w:szCs w:val="22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5238F6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5238F6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1"/>
    <w:qFormat/>
    <w:rsid w:val="00D828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7EE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03AF4"/>
    <w:pPr>
      <w:spacing w:after="160" w:line="259" w:lineRule="auto"/>
      <w:ind w:left="0" w:firstLine="0"/>
      <w:textAlignment w:val="auto"/>
    </w:pPr>
    <w:rPr>
      <w:rFonts w:asciiTheme="minorHAnsi" w:hAnsiTheme="minorHAnsi" w:cstheme="minorBidi"/>
      <w:sz w:val="22"/>
      <w:szCs w:val="22"/>
    </w:rPr>
  </w:style>
  <w:style w:type="paragraph" w:customStyle="1" w:styleId="Padro">
    <w:name w:val="Padrão"/>
    <w:qFormat/>
    <w:rsid w:val="00303AF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18" w:lineRule="auto"/>
    </w:pPr>
    <w:rPr>
      <w:rFonts w:ascii="Microsoft YaHei" w:eastAsia="Tahoma" w:hAnsi="Microsoft YaHei" w:cs="Liberation Sans"/>
      <w:color w:val="000000"/>
      <w:sz w:val="36"/>
    </w:rPr>
  </w:style>
  <w:style w:type="table" w:styleId="Tabelacomgrade">
    <w:name w:val="Table Grid"/>
    <w:basedOn w:val="Tabelanormal"/>
    <w:uiPriority w:val="39"/>
    <w:rsid w:val="00303A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C10DE"/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55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647B-9F57-4A28-BD17-10DFEFDC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2156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farias</dc:creator>
  <dc:description/>
  <cp:lastModifiedBy>User</cp:lastModifiedBy>
  <cp:revision>3</cp:revision>
  <cp:lastPrinted>2020-08-13T13:45:00Z</cp:lastPrinted>
  <dcterms:created xsi:type="dcterms:W3CDTF">2020-09-16T15:20:00Z</dcterms:created>
  <dcterms:modified xsi:type="dcterms:W3CDTF">2020-09-16T19:11:00Z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